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A7C9" w14:textId="77777777" w:rsidR="00DF14E0" w:rsidRDefault="00DF14E0" w:rsidP="00DF14E0">
      <w:pPr>
        <w:shd w:val="clear" w:color="auto" w:fill="FFFFFF"/>
        <w:tabs>
          <w:tab w:val="num" w:pos="720"/>
        </w:tabs>
        <w:spacing w:after="180" w:line="360" w:lineRule="atLeast"/>
        <w:ind w:left="720" w:hanging="360"/>
      </w:pPr>
    </w:p>
    <w:p w14:paraId="68463BAC" w14:textId="77777777" w:rsidR="00DF14E0" w:rsidRPr="00DF14E0" w:rsidRDefault="00DF14E0" w:rsidP="00DF14E0">
      <w:pPr>
        <w:shd w:val="clear" w:color="auto" w:fill="FFFFFF"/>
        <w:spacing w:line="360" w:lineRule="atLeast"/>
        <w:ind w:firstLine="720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DF14E0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Key Findings on LCBA vs. FCBA Performance:</w:t>
      </w:r>
    </w:p>
    <w:p w14:paraId="5274E559" w14:textId="77777777" w:rsidR="00DF14E0" w:rsidRPr="00DF14E0" w:rsidRDefault="00DF14E0" w:rsidP="00DF14E0">
      <w:pPr>
        <w:pStyle w:val="df3vjf"/>
        <w:shd w:val="clear" w:color="auto" w:fill="FFFFFF"/>
        <w:spacing w:before="0" w:beforeAutospacing="0" w:after="180" w:afterAutospacing="0" w:line="360" w:lineRule="atLeast"/>
        <w:ind w:left="720"/>
        <w:rPr>
          <w:rStyle w:val="Strong"/>
          <w:rFonts w:ascii="Roboto" w:hAnsi="Roboto"/>
          <w:b w:val="0"/>
          <w:bCs w:val="0"/>
          <w:color w:val="0A0A0A"/>
        </w:rPr>
      </w:pPr>
    </w:p>
    <w:p w14:paraId="2FE22DE1" w14:textId="3E796718" w:rsidR="00DF14E0" w:rsidRDefault="00DF14E0" w:rsidP="00DF14E0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Roboto" w:hAnsi="Roboto"/>
          <w:color w:val="0A0A0A"/>
        </w:rPr>
      </w:pPr>
      <w:r>
        <w:rPr>
          <w:rStyle w:val="Strong"/>
          <w:rFonts w:ascii="Roboto" w:eastAsiaTheme="majorEastAsia" w:hAnsi="Roboto"/>
          <w:color w:val="0A0A0A"/>
        </w:rPr>
        <w:t>Higher Sensitivity:</w:t>
      </w:r>
      <w:r>
        <w:rPr>
          <w:rStyle w:val="t286pc"/>
          <w:rFonts w:ascii="Roboto" w:hAnsi="Roboto"/>
          <w:color w:val="0A0A0A"/>
        </w:rPr>
        <w:t> LCBA demonstrates much higher sensitivity for detecting MOG-IgG (e.g., 95.1% in LCBA vs. 45.7% in FCBA) and AQP4-IgG (e.g., 97.3% in LCBA vs. 71.6% in FCBA).</w:t>
      </w:r>
    </w:p>
    <w:p w14:paraId="1306D2AE" w14:textId="77777777" w:rsidR="00DF14E0" w:rsidRDefault="00DF14E0" w:rsidP="00DF14E0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Roboto" w:hAnsi="Roboto"/>
          <w:color w:val="0A0A0A"/>
        </w:rPr>
      </w:pPr>
      <w:r>
        <w:rPr>
          <w:rStyle w:val="Strong"/>
          <w:rFonts w:ascii="Roboto" w:eastAsiaTheme="majorEastAsia" w:hAnsi="Roboto"/>
          <w:color w:val="0A0A0A"/>
        </w:rPr>
        <w:t>Reduced Underdiagnosis:</w:t>
      </w:r>
      <w:r>
        <w:rPr>
          <w:rStyle w:val="t286pc"/>
          <w:rFonts w:ascii="Roboto" w:hAnsi="Roboto"/>
          <w:color w:val="0A0A0A"/>
        </w:rPr>
        <w:t> Exclusive use of FCBA may result in significant underdiagnosis of conditions like MOGAD, while LCBA is considered a "gold standard" for these tests.</w:t>
      </w:r>
    </w:p>
    <w:p w14:paraId="07CD0AB2" w14:textId="77777777" w:rsidR="00DF14E0" w:rsidRDefault="00DF14E0" w:rsidP="00DF14E0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Roboto" w:hAnsi="Roboto"/>
          <w:color w:val="0A0A0A"/>
        </w:rPr>
      </w:pPr>
      <w:r>
        <w:rPr>
          <w:rStyle w:val="Strong"/>
          <w:rFonts w:ascii="Roboto" w:eastAsiaTheme="majorEastAsia" w:hAnsi="Roboto"/>
          <w:color w:val="0A0A0A"/>
        </w:rPr>
        <w:t>Structural Integrity:</w:t>
      </w:r>
      <w:r>
        <w:rPr>
          <w:rStyle w:val="t286pc"/>
          <w:rFonts w:ascii="Roboto" w:hAnsi="Roboto"/>
          <w:color w:val="0A0A0A"/>
        </w:rPr>
        <w:t> LCBA preserves the natural structure of antigenic epitopes, whereas fixation (used in FCBA) can alter protein structure and disrupt antigen-antibody interactions, particularly for MOG-IgG.</w:t>
      </w:r>
    </w:p>
    <w:p w14:paraId="60200BF4" w14:textId="77777777" w:rsidR="00DF14E0" w:rsidRDefault="00DF14E0" w:rsidP="00DF14E0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Roboto" w:hAnsi="Roboto"/>
          <w:color w:val="0A0A0A"/>
        </w:rPr>
      </w:pPr>
      <w:r>
        <w:rPr>
          <w:rStyle w:val="Strong"/>
          <w:rFonts w:ascii="Roboto" w:eastAsiaTheme="majorEastAsia" w:hAnsi="Roboto"/>
          <w:color w:val="0A0A0A"/>
        </w:rPr>
        <w:t>Comparable Specificity:</w:t>
      </w:r>
      <w:r>
        <w:rPr>
          <w:rStyle w:val="t286pc"/>
          <w:rFonts w:ascii="Roboto" w:hAnsi="Roboto"/>
          <w:color w:val="0A0A0A"/>
        </w:rPr>
        <w:t> While LCBA is more sensitive, both methods show high, often comparable, specificity for detecting pathogenic antibodies.</w:t>
      </w:r>
    </w:p>
    <w:p w14:paraId="48777FCF" w14:textId="77777777" w:rsidR="00DF14E0" w:rsidRDefault="00DF14E0" w:rsidP="00DF14E0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Style w:val="t286pc"/>
          <w:rFonts w:ascii="Roboto" w:hAnsi="Roboto"/>
          <w:color w:val="0A0A0A"/>
        </w:rPr>
      </w:pPr>
      <w:r>
        <w:rPr>
          <w:rStyle w:val="Strong"/>
          <w:rFonts w:ascii="Roboto" w:eastAsiaTheme="majorEastAsia" w:hAnsi="Roboto"/>
          <w:color w:val="0A0A0A"/>
        </w:rPr>
        <w:t>Receptor Testing:</w:t>
      </w:r>
      <w:r>
        <w:rPr>
          <w:rStyle w:val="t286pc"/>
          <w:rFonts w:ascii="Roboto" w:hAnsi="Roboto"/>
          <w:color w:val="0A0A0A"/>
        </w:rPr>
        <w:t> Studies on NMDAR antibody detection also indicate that LCBA (specifically NR1-4a) offers superior sensitivity (100%) compared to FCBA</w:t>
      </w:r>
    </w:p>
    <w:p w14:paraId="42728C3B" w14:textId="77777777" w:rsidR="006069B5" w:rsidRDefault="006069B5" w:rsidP="006069B5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="Roboto" w:hAnsi="Roboto"/>
          <w:color w:val="0A0A0A"/>
        </w:rPr>
      </w:pPr>
    </w:p>
    <w:p w14:paraId="5D3F7471" w14:textId="77777777" w:rsidR="006069B5" w:rsidRDefault="006069B5" w:rsidP="006069B5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="Roboto" w:hAnsi="Roboto"/>
          <w:color w:val="0A0A0A"/>
        </w:rPr>
      </w:pPr>
    </w:p>
    <w:p w14:paraId="0F1B0D6D" w14:textId="77777777" w:rsidR="00392745" w:rsidRDefault="00392745" w:rsidP="006069B5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="Roboto" w:hAnsi="Roboto"/>
          <w:color w:val="0A0A0A"/>
        </w:rPr>
      </w:pPr>
    </w:p>
    <w:p w14:paraId="4A0D787D" w14:textId="77777777" w:rsidR="00392745" w:rsidRDefault="00392745" w:rsidP="006069B5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="Roboto" w:hAnsi="Roboto"/>
          <w:color w:val="0A0A0A"/>
        </w:rPr>
      </w:pPr>
    </w:p>
    <w:p w14:paraId="46E69EBF" w14:textId="77777777" w:rsidR="00392745" w:rsidRDefault="00392745" w:rsidP="006069B5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="Roboto" w:hAnsi="Roboto"/>
          <w:color w:val="0A0A0A"/>
        </w:rPr>
      </w:pPr>
    </w:p>
    <w:p w14:paraId="6F816C01" w14:textId="77777777" w:rsidR="00392745" w:rsidRDefault="00392745" w:rsidP="006069B5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="Roboto" w:hAnsi="Roboto"/>
          <w:color w:val="0A0A0A"/>
        </w:rPr>
      </w:pPr>
    </w:p>
    <w:p w14:paraId="0C9CEC65" w14:textId="77777777" w:rsidR="00392745" w:rsidRDefault="00392745" w:rsidP="006069B5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="Roboto" w:hAnsi="Roboto"/>
          <w:color w:val="0A0A0A"/>
        </w:rPr>
      </w:pPr>
    </w:p>
    <w:p w14:paraId="6A6578CD" w14:textId="77777777" w:rsidR="00392745" w:rsidRDefault="00392745" w:rsidP="006069B5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="Roboto" w:hAnsi="Roboto"/>
          <w:color w:val="0A0A0A"/>
        </w:rPr>
      </w:pPr>
    </w:p>
    <w:p w14:paraId="654F647B" w14:textId="77777777" w:rsidR="006069B5" w:rsidRPr="006069B5" w:rsidRDefault="006069B5" w:rsidP="006069B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6069B5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lastRenderedPageBreak/>
        <w:t>In the context of paraneoplastic and autoimmune neuroimmunology testing, a Live Cell-Based Assay (LCBA) is generally considered superior to a Fixed Cell-Based Assay (FCBA) due to significantly higher sensitivity while maintaining similar specificity</w:t>
      </w:r>
      <w:r w:rsidRPr="006069B5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. </w:t>
      </w:r>
    </w:p>
    <w:p w14:paraId="31CE9DB9" w14:textId="77777777" w:rsidR="006069B5" w:rsidRPr="006069B5" w:rsidRDefault="006069B5" w:rsidP="006069B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069B5">
        <w:rPr>
          <w:rFonts w:ascii="Roboto" w:eastAsia="Times New Roman" w:hAnsi="Roboto" w:cs="Times New Roman"/>
          <w:noProof/>
          <w:color w:val="0A0A0A"/>
          <w:kern w:val="0"/>
          <w:sz w:val="24"/>
          <w:szCs w:val="24"/>
          <w14:ligatures w14:val="none"/>
        </w:rPr>
        <w:drawing>
          <wp:inline distT="0" distB="0" distL="0" distR="0" wp14:anchorId="0E146647" wp14:editId="3FA469FD">
            <wp:extent cx="1219200" cy="1219200"/>
            <wp:effectExtent l="0" t="0" r="0" b="0"/>
            <wp:docPr id="4" name="Picture 5" descr="National Institutes of Health (NIH) | (.gov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tional Institutes of Health (NIH) | (.gov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9B5">
        <w:rPr>
          <w:rFonts w:ascii="Roboto" w:eastAsia="Times New Roman" w:hAnsi="Roboto" w:cs="Times New Roman"/>
          <w:color w:val="56595E"/>
          <w:kern w:val="0"/>
          <w:sz w:val="17"/>
          <w:szCs w:val="17"/>
          <w14:ligatures w14:val="none"/>
        </w:rPr>
        <w:t>National Institutes of Health (NIH) | (.gov) +1</w:t>
      </w:r>
    </w:p>
    <w:p w14:paraId="5E859048" w14:textId="77777777" w:rsidR="006069B5" w:rsidRPr="006069B5" w:rsidRDefault="006069B5" w:rsidP="006069B5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6069B5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Performance Comparison</w:t>
      </w:r>
    </w:p>
    <w:p w14:paraId="44FCFE56" w14:textId="77777777" w:rsidR="006069B5" w:rsidRPr="006069B5" w:rsidRDefault="006069B5" w:rsidP="006069B5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6069B5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Sensitivity</w:t>
      </w:r>
      <w:r w:rsidRPr="006069B5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LCBA is markedly more sensitive. For instance, studies have shown LCBA sensitivity for certain antibodies can be as high as </w:t>
      </w:r>
      <w:r w:rsidRPr="006069B5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95.1% to 100%</w:t>
      </w:r>
      <w:r w:rsidRPr="006069B5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, whereas FCBA sensitivity can be as low as </w:t>
      </w:r>
      <w:r w:rsidRPr="006069B5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40% to 45.7%</w:t>
      </w:r>
      <w:r w:rsidRPr="006069B5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.</w:t>
      </w:r>
    </w:p>
    <w:p w14:paraId="38B5FD76" w14:textId="77777777" w:rsidR="006069B5" w:rsidRPr="006069B5" w:rsidRDefault="006069B5" w:rsidP="006069B5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6069B5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Conformational Preservation</w:t>
      </w:r>
      <w:r w:rsidRPr="006069B5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The primary advantage of LCBA is that it uses live cells, which preserve the natural, three-dimensional folding (conformation) of surface antigens.</w:t>
      </w:r>
    </w:p>
    <w:p w14:paraId="38C97800" w14:textId="77777777" w:rsidR="006069B5" w:rsidRPr="006069B5" w:rsidRDefault="006069B5" w:rsidP="006069B5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6069B5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Fixation Artifacts</w:t>
      </w:r>
      <w:r w:rsidRPr="006069B5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FCBA uses chemical fixatives (like formaldehyde) that can distort or destroy delicate antigenic epitopes, leading to false-negative results.</w:t>
      </w:r>
    </w:p>
    <w:p w14:paraId="240D7390" w14:textId="77777777" w:rsidR="006069B5" w:rsidRPr="006069B5" w:rsidRDefault="006069B5" w:rsidP="006069B5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069B5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Specificity</w:t>
      </w:r>
      <w:r w:rsidRPr="006069B5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Both methods typically maintain high specificity, often reaching </w:t>
      </w:r>
      <w:r w:rsidRPr="006069B5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97% to 100%</w:t>
      </w:r>
      <w:r w:rsidRPr="006069B5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, meaning false positives are rare for both. </w:t>
      </w:r>
    </w:p>
    <w:p w14:paraId="331733CE" w14:textId="77777777" w:rsidR="006069B5" w:rsidRPr="006069B5" w:rsidRDefault="006069B5" w:rsidP="006069B5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069B5">
        <w:rPr>
          <w:rFonts w:ascii="Roboto" w:eastAsia="Times New Roman" w:hAnsi="Roboto" w:cs="Times New Roman"/>
          <w:noProof/>
          <w:color w:val="0A0A0A"/>
          <w:kern w:val="0"/>
          <w:sz w:val="24"/>
          <w:szCs w:val="24"/>
          <w14:ligatures w14:val="none"/>
        </w:rPr>
        <w:drawing>
          <wp:inline distT="0" distB="0" distL="0" distR="0" wp14:anchorId="2182F198" wp14:editId="377B102A">
            <wp:extent cx="1219200" cy="1219200"/>
            <wp:effectExtent l="0" t="0" r="0" b="0"/>
            <wp:docPr id="5" name="Picture 4" descr="National Institutes of Health (NIH) | (.gov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tional Institutes of Health (NIH) | (.gov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9B5">
        <w:rPr>
          <w:rFonts w:ascii="Roboto" w:eastAsia="Times New Roman" w:hAnsi="Roboto" w:cs="Times New Roman"/>
          <w:color w:val="56595E"/>
          <w:kern w:val="0"/>
          <w:sz w:val="17"/>
          <w:szCs w:val="17"/>
          <w14:ligatures w14:val="none"/>
        </w:rPr>
        <w:t>National Institutes of Health (NIH) | (.gov) +2</w:t>
      </w:r>
    </w:p>
    <w:p w14:paraId="1C2B2D2C" w14:textId="77777777" w:rsidR="006069B5" w:rsidRPr="006069B5" w:rsidRDefault="006069B5" w:rsidP="006069B5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6069B5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Practical Considerations</w:t>
      </w:r>
    </w:p>
    <w:p w14:paraId="3F70A177" w14:textId="77777777" w:rsidR="006069B5" w:rsidRPr="006069B5" w:rsidRDefault="006069B5" w:rsidP="006069B5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6069B5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Gold Standard</w:t>
      </w:r>
      <w:r w:rsidRPr="006069B5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Because of its superior detection capabilities, LCBA is often considered the "gold standard" for specific paraneoplastic and autoimmune markers like </w:t>
      </w:r>
      <w:r w:rsidRPr="006069B5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MOG-IgG</w:t>
      </w:r>
      <w:r w:rsidRPr="006069B5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 and </w:t>
      </w:r>
      <w:r w:rsidRPr="006069B5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AQP4-IgG</w:t>
      </w:r>
      <w:r w:rsidRPr="006069B5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.</w:t>
      </w:r>
    </w:p>
    <w:p w14:paraId="5EEF19B6" w14:textId="77777777" w:rsidR="006069B5" w:rsidRPr="006069B5" w:rsidRDefault="006069B5" w:rsidP="006069B5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6069B5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lastRenderedPageBreak/>
        <w:t>Accessibility</w:t>
      </w:r>
      <w:r w:rsidRPr="006069B5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Despite being less sensitive, FCBAs (such as those from </w:t>
      </w:r>
      <w:proofErr w:type="spellStart"/>
      <w:r w:rsidRPr="006069B5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Euroimmun</w:t>
      </w:r>
      <w:proofErr w:type="spellEnd"/>
      <w:r w:rsidRPr="006069B5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) are more widely accessible and cost-effective because they do not require the specialized laboratory infrastructure needed to maintain live cell cultures.</w:t>
      </w:r>
    </w:p>
    <w:p w14:paraId="15BA3FE6" w14:textId="77777777" w:rsidR="006069B5" w:rsidRPr="006069B5" w:rsidRDefault="006069B5" w:rsidP="006069B5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069B5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Diagnostic Strategy</w:t>
      </w:r>
      <w:r w:rsidRPr="006069B5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If an initial FCBA screening is negative but clinical suspicion remains high, clinicians may reflex to an LCBA to avoid underdiagnosis. </w:t>
      </w:r>
    </w:p>
    <w:p w14:paraId="253219CC" w14:textId="77777777" w:rsidR="006069B5" w:rsidRPr="006069B5" w:rsidRDefault="006069B5" w:rsidP="006069B5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069B5">
        <w:rPr>
          <w:rFonts w:ascii="Roboto" w:eastAsia="Times New Roman" w:hAnsi="Roboto" w:cs="Times New Roman"/>
          <w:noProof/>
          <w:color w:val="0A0A0A"/>
          <w:kern w:val="0"/>
          <w:sz w:val="24"/>
          <w:szCs w:val="24"/>
          <w14:ligatures w14:val="none"/>
        </w:rPr>
        <w:drawing>
          <wp:inline distT="0" distB="0" distL="0" distR="0" wp14:anchorId="0727DABA" wp14:editId="1EFEBF47">
            <wp:extent cx="1219200" cy="1219200"/>
            <wp:effectExtent l="0" t="0" r="0" b="0"/>
            <wp:docPr id="6" name="Picture 3" descr="National Institutes of Health (NIH) | (.gov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ational Institutes of Health (NIH) | (.gov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9B5">
        <w:rPr>
          <w:rFonts w:ascii="Roboto" w:eastAsia="Times New Roman" w:hAnsi="Roboto" w:cs="Times New Roman"/>
          <w:color w:val="56595E"/>
          <w:kern w:val="0"/>
          <w:sz w:val="17"/>
          <w:szCs w:val="17"/>
          <w14:ligatures w14:val="none"/>
        </w:rPr>
        <w:t>National Institutes of Health (NIH) | (.gov) +2</w:t>
      </w:r>
    </w:p>
    <w:p w14:paraId="0696BE34" w14:textId="4AA77A77" w:rsidR="00366112" w:rsidRPr="007755B9" w:rsidRDefault="00366112" w:rsidP="00283F21"/>
    <w:sectPr w:rsidR="00366112" w:rsidRPr="007755B9" w:rsidSect="001B52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7190"/>
    <w:multiLevelType w:val="multilevel"/>
    <w:tmpl w:val="D46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4591D"/>
    <w:multiLevelType w:val="multilevel"/>
    <w:tmpl w:val="F58E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155FE"/>
    <w:multiLevelType w:val="multilevel"/>
    <w:tmpl w:val="A714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551902">
    <w:abstractNumId w:val="2"/>
  </w:num>
  <w:num w:numId="2" w16cid:durableId="934636201">
    <w:abstractNumId w:val="0"/>
  </w:num>
  <w:num w:numId="3" w16cid:durableId="139585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79"/>
    <w:rsid w:val="00001A48"/>
    <w:rsid w:val="00061A03"/>
    <w:rsid w:val="000A6D84"/>
    <w:rsid w:val="000C2BB9"/>
    <w:rsid w:val="000D668B"/>
    <w:rsid w:val="000F3DE9"/>
    <w:rsid w:val="00106918"/>
    <w:rsid w:val="001B52B7"/>
    <w:rsid w:val="001E1714"/>
    <w:rsid w:val="001E38A7"/>
    <w:rsid w:val="00222A67"/>
    <w:rsid w:val="00274A9C"/>
    <w:rsid w:val="00277785"/>
    <w:rsid w:val="00277C3A"/>
    <w:rsid w:val="00283F21"/>
    <w:rsid w:val="003142CC"/>
    <w:rsid w:val="00327DA7"/>
    <w:rsid w:val="00350A98"/>
    <w:rsid w:val="00366112"/>
    <w:rsid w:val="003661F5"/>
    <w:rsid w:val="003709B7"/>
    <w:rsid w:val="00392745"/>
    <w:rsid w:val="003C5609"/>
    <w:rsid w:val="00432A66"/>
    <w:rsid w:val="004401B2"/>
    <w:rsid w:val="004679D4"/>
    <w:rsid w:val="00561A78"/>
    <w:rsid w:val="0056215A"/>
    <w:rsid w:val="0058043D"/>
    <w:rsid w:val="005E38D1"/>
    <w:rsid w:val="005E55C4"/>
    <w:rsid w:val="005F234E"/>
    <w:rsid w:val="005F740A"/>
    <w:rsid w:val="006069B5"/>
    <w:rsid w:val="006533E0"/>
    <w:rsid w:val="006878A8"/>
    <w:rsid w:val="006C4D2D"/>
    <w:rsid w:val="006D57A4"/>
    <w:rsid w:val="006E1ED5"/>
    <w:rsid w:val="006E4DDF"/>
    <w:rsid w:val="00703676"/>
    <w:rsid w:val="00727EB9"/>
    <w:rsid w:val="007723F9"/>
    <w:rsid w:val="007755B9"/>
    <w:rsid w:val="00777DE4"/>
    <w:rsid w:val="008726FB"/>
    <w:rsid w:val="00896A79"/>
    <w:rsid w:val="008E50D6"/>
    <w:rsid w:val="00944DED"/>
    <w:rsid w:val="009D3A5B"/>
    <w:rsid w:val="00A64672"/>
    <w:rsid w:val="00A661DC"/>
    <w:rsid w:val="00A86341"/>
    <w:rsid w:val="00AC5918"/>
    <w:rsid w:val="00B65C51"/>
    <w:rsid w:val="00B916A0"/>
    <w:rsid w:val="00CE7887"/>
    <w:rsid w:val="00D37611"/>
    <w:rsid w:val="00D524E5"/>
    <w:rsid w:val="00D712C2"/>
    <w:rsid w:val="00DA3BFE"/>
    <w:rsid w:val="00DF14E0"/>
    <w:rsid w:val="00E15A18"/>
    <w:rsid w:val="00E37998"/>
    <w:rsid w:val="00E41333"/>
    <w:rsid w:val="00EA1E00"/>
    <w:rsid w:val="00F248D0"/>
    <w:rsid w:val="00F44751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91CD"/>
  <w15:chartTrackingRefBased/>
  <w15:docId w15:val="{8EB74871-6242-4DD2-AE52-5B91CE99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E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E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E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-sc-1iyax29-0">
    <w:name w:val="paragraph-sc-1iyax29-0"/>
    <w:basedOn w:val="Normal"/>
    <w:rsid w:val="006E1E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E1ED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E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ED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f3vjf">
    <w:name w:val="df3vjf"/>
    <w:basedOn w:val="Normal"/>
    <w:rsid w:val="00DF14E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286pc">
    <w:name w:val="t286pc"/>
    <w:basedOn w:val="DefaultParagraphFont"/>
    <w:rsid w:val="00DF14E0"/>
  </w:style>
  <w:style w:type="character" w:styleId="Strong">
    <w:name w:val="Strong"/>
    <w:basedOn w:val="DefaultParagraphFont"/>
    <w:uiPriority w:val="22"/>
    <w:qFormat/>
    <w:rsid w:val="00DF14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3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8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8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30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4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044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8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95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2259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Tariq</dc:creator>
  <cp:keywords/>
  <dc:description/>
  <cp:lastModifiedBy>Tariq Aziz</cp:lastModifiedBy>
  <cp:revision>4</cp:revision>
  <cp:lastPrinted>2023-08-22T16:39:00Z</cp:lastPrinted>
  <dcterms:created xsi:type="dcterms:W3CDTF">2026-03-10T18:05:00Z</dcterms:created>
  <dcterms:modified xsi:type="dcterms:W3CDTF">2026-03-10T18:08:00Z</dcterms:modified>
</cp:coreProperties>
</file>